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47" w:rsidRPr="00281596" w:rsidRDefault="00773E47" w:rsidP="00773E47">
      <w:pPr>
        <w:spacing w:after="0"/>
        <w:jc w:val="right"/>
        <w:rPr>
          <w:rFonts w:ascii="Times New Roman" w:eastAsia="MS Mincho" w:hAnsi="Times New Roman"/>
          <w:sz w:val="20"/>
          <w:szCs w:val="20"/>
          <w:lang w:eastAsia="it-IT"/>
        </w:rPr>
      </w:pPr>
      <w:bookmarkStart w:id="0" w:name="_GoBack"/>
      <w:bookmarkEnd w:id="0"/>
      <w:r>
        <w:rPr>
          <w:rFonts w:ascii="Gill Sans" w:eastAsia="MS Mincho" w:hAnsi="Gill Sans"/>
          <w:sz w:val="24"/>
          <w:szCs w:val="24"/>
          <w:lang w:eastAsia="it-IT"/>
        </w:rPr>
        <w:tab/>
      </w:r>
      <w:r>
        <w:rPr>
          <w:rFonts w:ascii="Gill Sans" w:eastAsia="MS Mincho" w:hAnsi="Gill Sans"/>
          <w:sz w:val="24"/>
          <w:szCs w:val="24"/>
          <w:lang w:eastAsia="it-IT"/>
        </w:rPr>
        <w:tab/>
      </w:r>
      <w:r>
        <w:rPr>
          <w:rFonts w:ascii="Gill Sans" w:eastAsia="MS Mincho" w:hAnsi="Gill Sans"/>
          <w:sz w:val="24"/>
          <w:szCs w:val="24"/>
          <w:lang w:eastAsia="it-IT"/>
        </w:rPr>
        <w:tab/>
      </w:r>
      <w:r>
        <w:rPr>
          <w:rFonts w:ascii="Gill Sans" w:eastAsia="MS Mincho" w:hAnsi="Gill Sans"/>
          <w:sz w:val="24"/>
          <w:szCs w:val="24"/>
          <w:lang w:eastAsia="it-IT"/>
        </w:rPr>
        <w:tab/>
      </w:r>
      <w:r>
        <w:rPr>
          <w:rFonts w:ascii="Gill Sans" w:eastAsia="MS Mincho" w:hAnsi="Gill Sans"/>
          <w:sz w:val="24"/>
          <w:szCs w:val="24"/>
          <w:lang w:eastAsia="it-IT"/>
        </w:rPr>
        <w:tab/>
      </w:r>
      <w:r>
        <w:rPr>
          <w:rFonts w:ascii="Gill Sans" w:eastAsia="MS Mincho" w:hAnsi="Gill Sans"/>
          <w:sz w:val="24"/>
          <w:szCs w:val="24"/>
          <w:lang w:eastAsia="it-IT"/>
        </w:rPr>
        <w:tab/>
      </w:r>
      <w:r>
        <w:rPr>
          <w:rFonts w:ascii="Gill Sans" w:eastAsia="MS Mincho" w:hAnsi="Gill Sans"/>
          <w:sz w:val="24"/>
          <w:szCs w:val="24"/>
          <w:lang w:eastAsia="it-IT"/>
        </w:rPr>
        <w:tab/>
      </w:r>
      <w:r>
        <w:rPr>
          <w:rFonts w:ascii="Gill Sans" w:eastAsia="MS Mincho" w:hAnsi="Gill Sans"/>
          <w:sz w:val="24"/>
          <w:szCs w:val="24"/>
          <w:lang w:eastAsia="it-IT"/>
        </w:rPr>
        <w:tab/>
      </w:r>
    </w:p>
    <w:p w:rsidR="00773E47" w:rsidRPr="00773E47" w:rsidRDefault="00773E47" w:rsidP="005B5722">
      <w:pPr>
        <w:tabs>
          <w:tab w:val="left" w:pos="3375"/>
        </w:tabs>
        <w:spacing w:after="0" w:line="240" w:lineRule="auto"/>
        <w:jc w:val="center"/>
        <w:rPr>
          <w:rFonts w:ascii="Times New Roman" w:eastAsia="MS Mincho" w:hAnsi="Times New Roman"/>
          <w:b/>
          <w:sz w:val="24"/>
          <w:szCs w:val="24"/>
          <w:lang w:eastAsia="it-IT"/>
        </w:rPr>
      </w:pPr>
      <w:r w:rsidRPr="00773E47">
        <w:rPr>
          <w:rFonts w:ascii="Times New Roman" w:eastAsia="MS Mincho" w:hAnsi="Times New Roman"/>
          <w:b/>
          <w:sz w:val="24"/>
          <w:szCs w:val="24"/>
          <w:lang w:eastAsia="it-IT"/>
        </w:rPr>
        <w:t>PATTO DI INTEGRITÀ IN MATERIA DI CONTRATTI PUBBLICI DI SERVIZI E FORNITURE</w:t>
      </w: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jc w:val="center"/>
        <w:rPr>
          <w:rFonts w:ascii="Times New Roman" w:eastAsia="MS Mincho" w:hAnsi="Times New Roman"/>
          <w:b/>
          <w:sz w:val="24"/>
          <w:szCs w:val="24"/>
          <w:lang w:eastAsia="it-IT"/>
        </w:rPr>
      </w:pPr>
      <w:r w:rsidRPr="00773E47">
        <w:rPr>
          <w:rFonts w:ascii="Times New Roman" w:eastAsia="MS Mincho" w:hAnsi="Times New Roman"/>
          <w:b/>
          <w:sz w:val="24"/>
          <w:szCs w:val="24"/>
          <w:lang w:eastAsia="it-IT"/>
        </w:rPr>
        <w:t>Articolo 1</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r w:rsidRPr="00773E47">
        <w:rPr>
          <w:rFonts w:ascii="Times New Roman" w:eastAsia="MS Mincho" w:hAnsi="Times New Roman"/>
          <w:sz w:val="24"/>
          <w:szCs w:val="24"/>
          <w:u w:val="single"/>
          <w:lang w:eastAsia="it-IT"/>
        </w:rPr>
        <w:t>Ambito di applicazione</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 Il Patto di Integrità degli appalti regionali regola i comportamenti degli operatori economici e dei dipendenti dell’Azienda Sanitaria Locale Roma 2, nell’ambito delle procedure di affidamento e gestione degli appalti di servizi e fornitur</w:t>
      </w:r>
      <w:r>
        <w:rPr>
          <w:rFonts w:ascii="Times New Roman" w:eastAsia="MS Mincho" w:hAnsi="Times New Roman"/>
          <w:sz w:val="24"/>
          <w:szCs w:val="24"/>
          <w:lang w:eastAsia="it-IT"/>
        </w:rPr>
        <w:t>e di cui al D.l</w:t>
      </w:r>
      <w:r w:rsidRPr="00773E47">
        <w:rPr>
          <w:rFonts w:ascii="Times New Roman" w:eastAsia="MS Mincho" w:hAnsi="Times New Roman"/>
          <w:sz w:val="24"/>
          <w:szCs w:val="24"/>
          <w:lang w:eastAsia="it-IT"/>
        </w:rPr>
        <w:t>gs. 18 aprile 2016 n.</w:t>
      </w:r>
      <w:r>
        <w:rPr>
          <w:rFonts w:ascii="Times New Roman" w:eastAsia="MS Mincho" w:hAnsi="Times New Roman"/>
          <w:sz w:val="24"/>
          <w:szCs w:val="24"/>
          <w:lang w:eastAsia="it-IT"/>
        </w:rPr>
        <w:t xml:space="preserve"> </w:t>
      </w:r>
      <w:r w:rsidRPr="00773E47">
        <w:rPr>
          <w:rFonts w:ascii="Times New Roman" w:eastAsia="MS Mincho" w:hAnsi="Times New Roman"/>
          <w:sz w:val="24"/>
          <w:szCs w:val="24"/>
          <w:lang w:eastAsia="it-IT"/>
        </w:rPr>
        <w:t>50.</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2. Esso stabilisce la reciproca e formale obbligazione tra le Amministrazioni aggiudicatrici e gli operatori economici individuati al comma 1, di improntare i propri comportamenti ai principi di lealtà, trasparenza e correttezza, nonché l’espresso impegno anticorruzione di non offrire, accettare o richiedere somme di denaro o qualsiasi altra ricompensa, vantaggio o beneficio.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3. Il Patto di Integrità costituisce parte integrante dei contratti stipulati dall’Azienda Sanitaria Locale Roma 2. Ai sensi dell’art.1, comma 17, della Legge 6 novembre 2012 n. 190, l’espressa accettazione dello stesso costituisce condizione di ammissione alle procedure di gara ed alle procedure negoziate di importo superiore a € 40.000,00, nonché di iscrizione all’Albo/Elenco Fornitori. Tale condizione deve essere esplicitamente prevista nei bandi di gara e nelle lettere d’invito.</w:t>
      </w: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4. Una copia del Patto di Integrità, sottoscritta per accettazione dal legale rappresentante dell’operatore economico concorrente, deve essere consegnata unitamente alla documentazione amministrativa richiesta ai fini sia della procedura di affidamento, sia dell’iscrizione all’Albo/Elenco Fornitori. Per i consorzi ordinari o raggruppamenti temporanei l’obbligo riguarda tutti i consorziati o partecipanti al raggruppamento o consorzio.</w:t>
      </w: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jc w:val="center"/>
        <w:rPr>
          <w:rFonts w:ascii="Times New Roman" w:eastAsia="MS Mincho" w:hAnsi="Times New Roman"/>
          <w:b/>
          <w:sz w:val="24"/>
          <w:szCs w:val="24"/>
          <w:lang w:eastAsia="it-IT"/>
        </w:rPr>
      </w:pPr>
      <w:r w:rsidRPr="00773E47">
        <w:rPr>
          <w:rFonts w:ascii="Times New Roman" w:eastAsia="MS Mincho" w:hAnsi="Times New Roman"/>
          <w:b/>
          <w:sz w:val="24"/>
          <w:szCs w:val="24"/>
          <w:lang w:eastAsia="it-IT"/>
        </w:rPr>
        <w:t>Articolo 2</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r w:rsidRPr="00773E47">
        <w:rPr>
          <w:rFonts w:ascii="Times New Roman" w:eastAsia="MS Mincho" w:hAnsi="Times New Roman"/>
          <w:sz w:val="24"/>
          <w:szCs w:val="24"/>
          <w:u w:val="single"/>
          <w:lang w:eastAsia="it-IT"/>
        </w:rPr>
        <w:t>Obblighi degli operatori economici nei confronti della Stazione Appaltante</w:t>
      </w:r>
    </w:p>
    <w:p w:rsidR="00773E47" w:rsidRPr="00773E47" w:rsidRDefault="00773E47" w:rsidP="00773E47">
      <w:pPr>
        <w:tabs>
          <w:tab w:val="left" w:pos="3375"/>
        </w:tabs>
        <w:spacing w:after="0" w:line="240" w:lineRule="auto"/>
        <w:rPr>
          <w:rFonts w:ascii="Times New Roman" w:eastAsia="MS Mincho" w:hAnsi="Times New Roman"/>
          <w:sz w:val="24"/>
          <w:szCs w:val="24"/>
          <w:u w:val="single"/>
          <w:lang w:eastAsia="it-IT"/>
        </w:rPr>
      </w:pP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 In sede di affidamento di contratti di servizi e forniture, ovvero in sede di iscrizione ad Albi/Elenchi Fornitori, l’operatore economico: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1.1 si obbliga a non ricorrere ad alcuna mediazione o altra opera di terzi finalizzata all’aggiudicazione e/o gestione del contratto;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1.2 dichiara di non avere influenzato il procedimento amministrativo diretto a stabilire il contenuto del bando o di altro atto equipollente al fine di condizionare le modalità di scelta del contraente da parte dell’Amministra</w:t>
      </w:r>
      <w:r w:rsidRPr="00773E47">
        <w:rPr>
          <w:rFonts w:ascii="Times New Roman" w:eastAsia="MS Mincho" w:hAnsi="Times New Roman"/>
          <w:sz w:val="24"/>
          <w:szCs w:val="24"/>
          <w:lang w:eastAsia="it-IT"/>
        </w:rPr>
        <w:lastRenderedPageBreak/>
        <w:t>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1.3 dichiara, con riferimento alla specifica procedura di affidamento o iscrizione ad Albo/Elenco Fornitori, di non avere in corso né di avere praticato intese e/o pratiche restrittive della concorrenza e del mercato vietate ai sensi della normativa vigente, ivi inclusi gli artt. 101 e seguenti del Trattato sul Funzionamento dell’Unione Europea (TFUE) e gli artt. 2 e seguenti della Legge 10 ottobre 1990 n.</w:t>
      </w:r>
      <w:r>
        <w:rPr>
          <w:rFonts w:ascii="Times New Roman" w:eastAsia="MS Mincho" w:hAnsi="Times New Roman"/>
          <w:sz w:val="24"/>
          <w:szCs w:val="24"/>
          <w:lang w:eastAsia="it-IT"/>
        </w:rPr>
        <w:t xml:space="preserve"> </w:t>
      </w:r>
      <w:r w:rsidRPr="00773E47">
        <w:rPr>
          <w:rFonts w:ascii="Times New Roman" w:eastAsia="MS Mincho" w:hAnsi="Times New Roman"/>
          <w:sz w:val="24"/>
          <w:szCs w:val="24"/>
          <w:lang w:eastAsia="it-IT"/>
        </w:rPr>
        <w:t>287 recante “Norme per la tutela della concorrenza e del mercato”, e che l’offerta è stata predisposta nel pieno rispetto della predetta normativa; dichiara altresì, che non si è accordato e non si accorderà con altri partecipanti alle procedure per limitare con mezzi illeciti la concorrenza;</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1.4 si impegna a segnalare all’Amministrazione aggiudicatrice qualsiasi illecito tentativo da parte di terzi di turbare, o distorcere le fasi di svolgimento della procedura di affidamento e/o l’esecuzione del contratto;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1.5 si impegna a segnalare all’Amministrazione aggiudicatrice qualsiasi illecita richiesta o pretesa da parte dei dipendenti dell’amministrazione o di chiunque possa influenzare le decisioni relative alla procedura di affidamento o all’esecuzione del contratto;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1.6 si impegna, qualora i fatti di cui ai precedenti paragrafi 1.4 e 1.5 costituiscano reato, a sporgere denuncia all’Autorità giudiziaria o alla polizia giudiziaria;</w:t>
      </w: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2. Nelle fasi successive all’aggiudicazione, gli obblighi si intendono riferiti all’aggiudicatario il quale avrà l’onere di pretenderne il rispetto anche dai propri subcontraenti. A tal fine, la clausola che prevede il rispetto degli obblighi di cui al presente patto sarà inserita nei contratti stipulati dall’appaltatore con i propri subcontraenti.</w:t>
      </w:r>
    </w:p>
    <w:p w:rsidR="00773E47" w:rsidRPr="00773E47" w:rsidRDefault="00773E47" w:rsidP="00773E47">
      <w:pPr>
        <w:tabs>
          <w:tab w:val="left" w:pos="3375"/>
        </w:tabs>
        <w:spacing w:after="0" w:line="240" w:lineRule="auto"/>
        <w:jc w:val="center"/>
        <w:rPr>
          <w:rFonts w:ascii="Times New Roman" w:eastAsia="MS Mincho" w:hAnsi="Times New Roman"/>
          <w:b/>
          <w:sz w:val="24"/>
          <w:szCs w:val="24"/>
          <w:lang w:eastAsia="it-IT"/>
        </w:rPr>
      </w:pPr>
    </w:p>
    <w:p w:rsidR="00773E47" w:rsidRPr="00773E47" w:rsidRDefault="00773E47" w:rsidP="00773E47">
      <w:pPr>
        <w:tabs>
          <w:tab w:val="left" w:pos="3375"/>
        </w:tabs>
        <w:spacing w:after="0" w:line="240" w:lineRule="auto"/>
        <w:jc w:val="center"/>
        <w:rPr>
          <w:rFonts w:ascii="Times New Roman" w:eastAsia="MS Mincho" w:hAnsi="Times New Roman"/>
          <w:b/>
          <w:sz w:val="24"/>
          <w:szCs w:val="24"/>
          <w:lang w:eastAsia="it-IT"/>
        </w:rPr>
      </w:pPr>
      <w:r w:rsidRPr="00773E47">
        <w:rPr>
          <w:rFonts w:ascii="Times New Roman" w:eastAsia="MS Mincho" w:hAnsi="Times New Roman"/>
          <w:b/>
          <w:sz w:val="24"/>
          <w:szCs w:val="24"/>
          <w:lang w:eastAsia="it-IT"/>
        </w:rPr>
        <w:t>Articolo 3</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r w:rsidRPr="00773E47">
        <w:rPr>
          <w:rFonts w:ascii="Times New Roman" w:eastAsia="MS Mincho" w:hAnsi="Times New Roman"/>
          <w:sz w:val="24"/>
          <w:szCs w:val="24"/>
          <w:u w:val="single"/>
          <w:lang w:eastAsia="it-IT"/>
        </w:rPr>
        <w:t>Obblighi dell’Amministrazione aggiudicatrice</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1.L’Amministrazione aggiudicatrice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dell’art. 14 del DPR 16 aprile 2013 n. 62 (regolamento recante codice di comportamento dei dipendenti pubblici a norma dell’art.54 del D.Lgs. 30 marzo 2001 n.165) o di prescrizioni analoghe per i soggetti non tenuti all’applicazione dello stesso.</w:t>
      </w: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jc w:val="center"/>
        <w:rPr>
          <w:rFonts w:ascii="Times New Roman" w:eastAsia="MS Mincho" w:hAnsi="Times New Roman"/>
          <w:b/>
          <w:sz w:val="24"/>
          <w:szCs w:val="24"/>
          <w:lang w:eastAsia="it-IT"/>
        </w:rPr>
      </w:pPr>
      <w:r w:rsidRPr="00773E47">
        <w:rPr>
          <w:rFonts w:ascii="Times New Roman" w:eastAsia="MS Mincho" w:hAnsi="Times New Roman"/>
          <w:b/>
          <w:sz w:val="24"/>
          <w:szCs w:val="24"/>
          <w:lang w:eastAsia="it-IT"/>
        </w:rPr>
        <w:t>Articolo 4</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r w:rsidRPr="00773E47">
        <w:rPr>
          <w:rFonts w:ascii="Times New Roman" w:eastAsia="MS Mincho" w:hAnsi="Times New Roman"/>
          <w:sz w:val="24"/>
          <w:szCs w:val="24"/>
          <w:u w:val="single"/>
          <w:lang w:eastAsia="it-IT"/>
        </w:rPr>
        <w:t>Violazione del Patto di Integrità</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1. La violazione del Patto di integrità è dichiarata in esito ad un procedimento di verifica in cui venga garantito adeguato contradditorio con l’operatore economico interessato.</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2. La violazione da parte dell’operatore economico, sia in veste di concorrente che di aggiudicatario, di uno degli impegni previsti dall’articolo 2 comporta:</w:t>
      </w:r>
    </w:p>
    <w:p w:rsidR="00773E47" w:rsidRPr="00773E47" w:rsidRDefault="00773E47" w:rsidP="00773E47">
      <w:pPr>
        <w:tabs>
          <w:tab w:val="left" w:pos="3375"/>
        </w:tabs>
        <w:spacing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A) l’esclusione dalla procedura di affidamento e l’incameramento della cauzione provvisoria ovvero, qualora la violazione sia riscontrata in un momento successivo all’aggiudicazione, l’applicazione di una penale di importo pari al cinque per cento del valore del contratto;</w:t>
      </w: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r w:rsidRPr="00773E47">
        <w:rPr>
          <w:rFonts w:ascii="Times New Roman" w:eastAsia="MS Mincho" w:hAnsi="Times New Roman"/>
          <w:sz w:val="24"/>
          <w:szCs w:val="24"/>
          <w:lang w:eastAsia="it-IT"/>
        </w:rPr>
        <w:t>B) la revoca dell’aggiudicazione, la risoluzione di diritto del contratto eventualmente sottoscritto ai sensi e per gli effetti dell’art.1456 del codice civile e l’incameramento della cauzione definitiva. L’Amministrazione aggiudicatrice può non avvalersi della risoluzione del contratto qualora la ritenga pregiudizievole agli interessi pubblici, quali indicati dall’art. 121, comma 2, del D.Lgs. 2 luglio 2010 n.104 (disciplina del processo amministrativo). È fatto salvo in ogni caso l’eventuale diritto al risarcimento del danno.</w:t>
      </w:r>
    </w:p>
    <w:p w:rsidR="00773E47" w:rsidRPr="00773E47" w:rsidRDefault="00773E47" w:rsidP="00773E47">
      <w:pPr>
        <w:tabs>
          <w:tab w:val="left" w:pos="3375"/>
        </w:tabs>
        <w:spacing w:after="0" w:line="240" w:lineRule="auto"/>
        <w:jc w:val="both"/>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jc w:val="center"/>
        <w:rPr>
          <w:rFonts w:ascii="Times New Roman" w:eastAsia="MS Mincho" w:hAnsi="Times New Roman"/>
          <w:b/>
          <w:sz w:val="24"/>
          <w:szCs w:val="24"/>
          <w:lang w:eastAsia="it-IT"/>
        </w:rPr>
      </w:pPr>
      <w:r w:rsidRPr="00773E47">
        <w:rPr>
          <w:rFonts w:ascii="Times New Roman" w:eastAsia="MS Mincho" w:hAnsi="Times New Roman"/>
          <w:b/>
          <w:sz w:val="24"/>
          <w:szCs w:val="24"/>
          <w:lang w:eastAsia="it-IT"/>
        </w:rPr>
        <w:t>Articolo 5</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r w:rsidRPr="00773E47">
        <w:rPr>
          <w:rFonts w:ascii="Times New Roman" w:eastAsia="MS Mincho" w:hAnsi="Times New Roman"/>
          <w:sz w:val="24"/>
          <w:szCs w:val="24"/>
          <w:u w:val="single"/>
          <w:lang w:eastAsia="it-IT"/>
        </w:rPr>
        <w:t>Efficacia del Patto di Integrità</w:t>
      </w:r>
    </w:p>
    <w:p w:rsidR="00773E47" w:rsidRPr="00773E47" w:rsidRDefault="00773E47" w:rsidP="00773E47">
      <w:pPr>
        <w:tabs>
          <w:tab w:val="left" w:pos="3375"/>
        </w:tabs>
        <w:spacing w:after="0" w:line="240" w:lineRule="auto"/>
        <w:jc w:val="center"/>
        <w:rPr>
          <w:rFonts w:ascii="Times New Roman" w:eastAsia="MS Mincho" w:hAnsi="Times New Roman"/>
          <w:sz w:val="24"/>
          <w:szCs w:val="24"/>
          <w:u w:val="single"/>
          <w:lang w:eastAsia="it-IT"/>
        </w:rPr>
      </w:pP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r w:rsidRPr="00773E47">
        <w:rPr>
          <w:rFonts w:ascii="Times New Roman" w:eastAsia="MS Mincho" w:hAnsi="Times New Roman"/>
          <w:sz w:val="24"/>
          <w:szCs w:val="24"/>
          <w:lang w:eastAsia="it-IT"/>
        </w:rPr>
        <w:t>1. Il presente Patto di Integrità degli Appalti produce i suoi effetti per tutto il periodo dell’esecuzione del contratto conseguente ad ogni specifica procedura di affidamento.</w:t>
      </w: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r w:rsidRPr="00773E47">
        <w:rPr>
          <w:rFonts w:ascii="Times New Roman" w:eastAsia="MS Mincho" w:hAnsi="Times New Roman"/>
          <w:sz w:val="24"/>
          <w:szCs w:val="24"/>
          <w:lang w:eastAsia="it-IT"/>
        </w:rPr>
        <w:t>Per la società__________________________________________</w:t>
      </w: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r w:rsidRPr="00773E47">
        <w:rPr>
          <w:rFonts w:ascii="Times New Roman" w:eastAsia="MS Mincho" w:hAnsi="Times New Roman"/>
          <w:sz w:val="24"/>
          <w:szCs w:val="24"/>
          <w:lang w:eastAsia="it-IT"/>
        </w:rPr>
        <w:t>□Il legale rappresentante □ Il procuratore ad negotia</w:t>
      </w: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p>
    <w:p w:rsidR="00773E47" w:rsidRPr="00773E47" w:rsidRDefault="00773E47" w:rsidP="00773E47">
      <w:pPr>
        <w:tabs>
          <w:tab w:val="left" w:pos="3375"/>
        </w:tabs>
        <w:spacing w:after="0" w:line="240" w:lineRule="auto"/>
        <w:rPr>
          <w:rFonts w:ascii="Times New Roman" w:eastAsia="MS Mincho" w:hAnsi="Times New Roman"/>
          <w:sz w:val="24"/>
          <w:szCs w:val="24"/>
          <w:lang w:eastAsia="it-IT"/>
        </w:rPr>
      </w:pPr>
      <w:r w:rsidRPr="00773E47">
        <w:rPr>
          <w:rFonts w:ascii="Times New Roman" w:eastAsia="MS Mincho" w:hAnsi="Times New Roman"/>
          <w:sz w:val="24"/>
          <w:szCs w:val="24"/>
          <w:lang w:eastAsia="it-IT"/>
        </w:rPr>
        <w:t>________________________________________________</w:t>
      </w:r>
    </w:p>
    <w:p w:rsidR="00773E47" w:rsidRPr="00773E47" w:rsidRDefault="00773E47" w:rsidP="00773E47">
      <w:pPr>
        <w:keepNext/>
        <w:numPr>
          <w:ilvl w:val="6"/>
          <w:numId w:val="0"/>
        </w:numPr>
        <w:tabs>
          <w:tab w:val="left" w:pos="-2268"/>
          <w:tab w:val="num" w:pos="0"/>
        </w:tabs>
        <w:suppressAutoHyphens/>
        <w:spacing w:after="0" w:line="240" w:lineRule="auto"/>
        <w:outlineLvl w:val="6"/>
        <w:rPr>
          <w:rFonts w:ascii="Times New Roman" w:eastAsia="Times New Roman" w:hAnsi="Times New Roman"/>
          <w:b/>
          <w:i/>
          <w:sz w:val="24"/>
          <w:szCs w:val="24"/>
          <w:lang w:eastAsia="ar-SA"/>
        </w:rPr>
      </w:pPr>
      <w:r w:rsidRPr="00773E47">
        <w:rPr>
          <w:rFonts w:ascii="Times New Roman" w:eastAsia="MS Mincho" w:hAnsi="Times New Roman"/>
          <w:i/>
          <w:iCs/>
          <w:sz w:val="24"/>
          <w:szCs w:val="24"/>
          <w:lang w:eastAsia="it-IT"/>
        </w:rPr>
        <w:t>Il Documento deve essere sottoscritto con firma analogica e digitale</w:t>
      </w:r>
    </w:p>
    <w:p w:rsidR="00773E47" w:rsidRPr="00773E47" w:rsidRDefault="00773E47" w:rsidP="00773E47">
      <w:pPr>
        <w:tabs>
          <w:tab w:val="left" w:pos="3375"/>
        </w:tabs>
        <w:spacing w:after="0" w:line="240" w:lineRule="auto"/>
        <w:rPr>
          <w:rFonts w:ascii="Times New Roman" w:eastAsia="MS Mincho" w:hAnsi="Times New Roman"/>
          <w:lang w:eastAsia="it-IT"/>
        </w:rPr>
      </w:pPr>
    </w:p>
    <w:p w:rsidR="00C714B5" w:rsidRPr="00773E47" w:rsidRDefault="005A0394">
      <w:pPr>
        <w:rPr>
          <w:rFonts w:ascii="Times New Roman" w:hAnsi="Times New Roman"/>
        </w:rPr>
      </w:pPr>
    </w:p>
    <w:sectPr w:rsidR="00C714B5" w:rsidRPr="00773E47" w:rsidSect="00E307AA">
      <w:headerReference w:type="even" r:id="rId7"/>
      <w:headerReference w:type="default" r:id="rId8"/>
      <w:footerReference w:type="default" r:id="rId9"/>
      <w:headerReference w:type="first" r:id="rId10"/>
      <w:pgSz w:w="11900" w:h="16840"/>
      <w:pgMar w:top="-2268" w:right="112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94" w:rsidRDefault="005A0394" w:rsidP="00773E47">
      <w:pPr>
        <w:spacing w:after="0" w:line="240" w:lineRule="auto"/>
      </w:pPr>
      <w:r>
        <w:separator/>
      </w:r>
    </w:p>
  </w:endnote>
  <w:endnote w:type="continuationSeparator" w:id="0">
    <w:p w:rsidR="005A0394" w:rsidRDefault="005A0394" w:rsidP="0077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ill Sans">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AA" w:rsidRPr="006D35D5" w:rsidRDefault="00D96F9B">
    <w:pPr>
      <w:pStyle w:val="Pidipagina"/>
      <w:rPr>
        <w:color w:val="2F5496"/>
        <w:sz w:val="16"/>
        <w:szCs w:val="16"/>
      </w:rPr>
    </w:pPr>
    <w:r w:rsidRPr="006D35D5">
      <w:rPr>
        <w:color w:val="2F5496"/>
        <w:sz w:val="16"/>
        <w:szCs w:val="16"/>
      </w:rPr>
      <w:tab/>
    </w:r>
  </w:p>
  <w:tbl>
    <w:tblPr>
      <w:tblW w:w="0" w:type="auto"/>
      <w:tblLook w:val="04A0" w:firstRow="1" w:lastRow="0" w:firstColumn="1" w:lastColumn="0" w:noHBand="0" w:noVBand="1"/>
    </w:tblPr>
    <w:tblGrid>
      <w:gridCol w:w="4786"/>
      <w:gridCol w:w="4853"/>
    </w:tblGrid>
    <w:tr w:rsidR="00E307AA" w:rsidRPr="005A5EA1" w:rsidTr="00E307AA">
      <w:tc>
        <w:tcPr>
          <w:tcW w:w="4786" w:type="dxa"/>
          <w:shd w:val="clear" w:color="auto" w:fill="auto"/>
        </w:tcPr>
        <w:p w:rsidR="00E307AA" w:rsidRPr="005A5EA1" w:rsidRDefault="00D96F9B" w:rsidP="00E307AA">
          <w:pPr>
            <w:pStyle w:val="Pidipagina"/>
            <w:rPr>
              <w:color w:val="2F5496"/>
              <w:sz w:val="16"/>
              <w:szCs w:val="16"/>
            </w:rPr>
          </w:pPr>
          <w:r w:rsidRPr="005A5EA1">
            <w:rPr>
              <w:color w:val="2F5496"/>
              <w:sz w:val="16"/>
              <w:szCs w:val="16"/>
            </w:rPr>
            <w:t>ASL Roma 2 P.IVA 13665151000</w:t>
          </w:r>
        </w:p>
        <w:p w:rsidR="00E307AA" w:rsidRPr="005A5EA1" w:rsidRDefault="00D96F9B" w:rsidP="00E307AA">
          <w:pPr>
            <w:pStyle w:val="Pidipagina"/>
            <w:rPr>
              <w:color w:val="2F5496"/>
              <w:sz w:val="16"/>
              <w:szCs w:val="16"/>
            </w:rPr>
          </w:pPr>
          <w:r w:rsidRPr="005A5EA1">
            <w:rPr>
              <w:color w:val="2F5496"/>
              <w:sz w:val="16"/>
              <w:szCs w:val="16"/>
            </w:rPr>
            <w:t>Sede Legale Via Maria Brighenti, 23 Edificio B</w:t>
          </w:r>
        </w:p>
        <w:p w:rsidR="00E307AA" w:rsidRPr="005A5EA1" w:rsidRDefault="00D96F9B" w:rsidP="00E307AA">
          <w:pPr>
            <w:pStyle w:val="Pidipagina"/>
          </w:pPr>
          <w:r w:rsidRPr="005A5EA1">
            <w:rPr>
              <w:color w:val="2F5496"/>
              <w:sz w:val="16"/>
              <w:szCs w:val="16"/>
            </w:rPr>
            <w:t>00159 Roma</w:t>
          </w:r>
        </w:p>
      </w:tc>
      <w:tc>
        <w:tcPr>
          <w:tcW w:w="4853" w:type="dxa"/>
          <w:shd w:val="clear" w:color="auto" w:fill="auto"/>
        </w:tcPr>
        <w:p w:rsidR="00E307AA" w:rsidRPr="005A5EA1" w:rsidRDefault="005A0394" w:rsidP="00E307AA">
          <w:pPr>
            <w:pStyle w:val="Pidipagina"/>
            <w:jc w:val="right"/>
          </w:pPr>
        </w:p>
      </w:tc>
    </w:tr>
    <w:tr w:rsidR="00DE2A8B" w:rsidRPr="005A5EA1" w:rsidTr="00E307AA">
      <w:tc>
        <w:tcPr>
          <w:tcW w:w="4786" w:type="dxa"/>
          <w:shd w:val="clear" w:color="auto" w:fill="auto"/>
        </w:tcPr>
        <w:p w:rsidR="00DE2A8B" w:rsidRPr="005A5EA1" w:rsidRDefault="005A0394" w:rsidP="00E307AA">
          <w:pPr>
            <w:pStyle w:val="Pidipagina"/>
            <w:rPr>
              <w:color w:val="2F5496"/>
              <w:sz w:val="16"/>
              <w:szCs w:val="16"/>
            </w:rPr>
          </w:pPr>
        </w:p>
      </w:tc>
      <w:tc>
        <w:tcPr>
          <w:tcW w:w="4853" w:type="dxa"/>
          <w:shd w:val="clear" w:color="auto" w:fill="auto"/>
        </w:tcPr>
        <w:p w:rsidR="00DE2A8B" w:rsidRDefault="005A0394" w:rsidP="00E307AA">
          <w:pPr>
            <w:pStyle w:val="Pidipagina"/>
            <w:jc w:val="right"/>
            <w:rPr>
              <w:color w:val="2F5496"/>
              <w:sz w:val="16"/>
              <w:szCs w:val="16"/>
            </w:rPr>
          </w:pPr>
        </w:p>
      </w:tc>
    </w:tr>
  </w:tbl>
  <w:p w:rsidR="00E307AA" w:rsidRPr="00CD3E3F" w:rsidRDefault="005A0394">
    <w:pPr>
      <w:pStyle w:val="Pidipagina"/>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94" w:rsidRDefault="005A0394" w:rsidP="00773E47">
      <w:pPr>
        <w:spacing w:after="0" w:line="240" w:lineRule="auto"/>
      </w:pPr>
      <w:r>
        <w:separator/>
      </w:r>
    </w:p>
  </w:footnote>
  <w:footnote w:type="continuationSeparator" w:id="0">
    <w:p w:rsidR="005A0394" w:rsidRDefault="005A0394" w:rsidP="0077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AA" w:rsidRDefault="005A039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6797" o:spid="_x0000_s2049" type="#_x0000_t75" style="position:absolute;margin-left:0;margin-top:0;width:564.85pt;height:798.8pt;z-index:-251657216;mso-wrap-edited:f;mso-position-horizontal:center;mso-position-horizontal-relative:margin;mso-position-vertical:center;mso-position-vertical-relative:margin" wrapcoords="2721 1175 1604 1398 1604 1499 1289 1641 1231 1681 1231 1904 1604 2208 9253 2451 10800 2472 10800 19654 1260 19735 1231 20505 5844 20505 5958 20505 7820 20505 8909 20465 10771 20282 10771 2451 2091 2147 20196 2107 20282 2046 19795 1823 20253 1681 20253 1641 19480 1499 20282 1276 20167 1215 6159 1175 2721 1175" o:allowincell="f">
          <v:imagedata r:id="rId1" o:title="carta intestata roma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47" w:rsidRPr="00773E47" w:rsidRDefault="00773E47">
    <w:pPr>
      <w:pStyle w:val="Intestazione"/>
      <w:rPr>
        <w:rFonts w:ascii="Times New Roman" w:hAnsi="Times New Roman"/>
        <w:b/>
        <w:noProof/>
        <w:sz w:val="24"/>
        <w:szCs w:val="24"/>
        <w:lang w:eastAsia="it-IT"/>
      </w:rPr>
    </w:pPr>
    <w:r>
      <w:rPr>
        <w:noProof/>
        <w:lang w:eastAsia="it-IT"/>
      </w:rPr>
      <w:tab/>
    </w:r>
    <w:r>
      <w:rPr>
        <w:noProof/>
        <w:lang w:eastAsia="it-IT"/>
      </w:rPr>
      <w:tab/>
    </w:r>
    <w:r w:rsidRPr="00773E47">
      <w:rPr>
        <w:rFonts w:ascii="Times New Roman" w:hAnsi="Times New Roman"/>
        <w:b/>
        <w:noProof/>
        <w:sz w:val="24"/>
        <w:szCs w:val="24"/>
        <w:lang w:eastAsia="it-IT"/>
      </w:rPr>
      <w:t>ALLEGATO B</w:t>
    </w:r>
  </w:p>
  <w:p w:rsidR="00E307AA" w:rsidRDefault="00773E47">
    <w:pPr>
      <w:pStyle w:val="Intestazione"/>
    </w:pPr>
    <w:r w:rsidRPr="006D67D2">
      <w:rPr>
        <w:noProof/>
        <w:lang w:eastAsia="it-IT"/>
      </w:rPr>
      <w:drawing>
        <wp:inline distT="0" distB="0" distL="0" distR="0">
          <wp:extent cx="62865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AA" w:rsidRDefault="005A039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6796" o:spid="_x0000_s2050" type="#_x0000_t75" style="position:absolute;margin-left:0;margin-top:0;width:564.85pt;height:798.8pt;z-index:-251656192;mso-wrap-edited:f;mso-position-horizontal:center;mso-position-horizontal-relative:margin;mso-position-vertical:center;mso-position-vertical-relative:margin" wrapcoords="2721 1175 1604 1398 1604 1499 1289 1641 1231 1681 1231 1904 1604 2208 9253 2451 10800 2472 10800 19654 1260 19735 1231 20505 5844 20505 5958 20505 7820 20505 8909 20465 10771 20282 10771 2451 2091 2147 20196 2107 20282 2046 19795 1823 20253 1681 20253 1641 19480 1499 20282 1276 20167 1215 6159 1175 2721 1175" o:allowincell="f">
          <v:imagedata r:id="rId1" o:title="carta intestata roma 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4092B"/>
    <w:multiLevelType w:val="hybridMultilevel"/>
    <w:tmpl w:val="B1767A5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47"/>
    <w:rsid w:val="0013032C"/>
    <w:rsid w:val="005A0394"/>
    <w:rsid w:val="005B5722"/>
    <w:rsid w:val="00773E47"/>
    <w:rsid w:val="0080121D"/>
    <w:rsid w:val="00C6161A"/>
    <w:rsid w:val="00D96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A1DF986-5827-4309-9190-BF9D318E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E4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73E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73E47"/>
    <w:rPr>
      <w:rFonts w:ascii="Calibri" w:eastAsia="Calibri" w:hAnsi="Calibri" w:cs="Times New Roman"/>
    </w:rPr>
  </w:style>
  <w:style w:type="paragraph" w:styleId="Pidipagina">
    <w:name w:val="footer"/>
    <w:basedOn w:val="Normale"/>
    <w:link w:val="PidipaginaCarattere"/>
    <w:uiPriority w:val="99"/>
    <w:unhideWhenUsed/>
    <w:rsid w:val="00773E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3E47"/>
    <w:rPr>
      <w:rFonts w:ascii="Calibri" w:eastAsia="Calibri" w:hAnsi="Calibri" w:cs="Times New Roman"/>
    </w:rPr>
  </w:style>
  <w:style w:type="character" w:styleId="Collegamentoipertestuale">
    <w:name w:val="Hyperlink"/>
    <w:uiPriority w:val="99"/>
    <w:unhideWhenUsed/>
    <w:rsid w:val="00773E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aslroma2</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Calabrò</dc:creator>
  <cp:keywords/>
  <dc:description/>
  <cp:lastModifiedBy>Margherita Cazzetta</cp:lastModifiedBy>
  <cp:revision>2</cp:revision>
  <dcterms:created xsi:type="dcterms:W3CDTF">2022-10-27T12:27:00Z</dcterms:created>
  <dcterms:modified xsi:type="dcterms:W3CDTF">2022-10-27T12:27:00Z</dcterms:modified>
</cp:coreProperties>
</file>